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57FBE" w14:textId="77777777" w:rsidR="00900170" w:rsidRPr="00937AC5" w:rsidRDefault="00900170" w:rsidP="00CC7B23">
      <w:pPr>
        <w:pBdr>
          <w:bottom w:val="single" w:sz="4" w:space="1" w:color="auto"/>
        </w:pBdr>
        <w:outlineLvl w:val="0"/>
        <w:rPr>
          <w:b/>
          <w:lang w:val="sr-Cyrl-RS"/>
        </w:rPr>
      </w:pPr>
      <w:bookmarkStart w:id="0" w:name="_Toc312073935"/>
      <w:r>
        <w:rPr>
          <w:b/>
          <w:lang w:val="sr-Cyrl-BA"/>
        </w:rPr>
        <w:t>Н</w:t>
      </w:r>
      <w:r w:rsidRPr="00900170">
        <w:rPr>
          <w:b/>
          <w:lang w:val="sr-Cyrl-BA"/>
        </w:rPr>
        <w:t>аучни</w:t>
      </w:r>
      <w:r>
        <w:rPr>
          <w:b/>
          <w:lang w:val="sr-Cyrl-BA"/>
        </w:rPr>
        <w:t xml:space="preserve"> и умјетнички</w:t>
      </w:r>
      <w:r w:rsidRPr="00900170">
        <w:rPr>
          <w:b/>
          <w:lang w:val="sr-Cyrl-BA"/>
        </w:rPr>
        <w:t xml:space="preserve"> скупов</w:t>
      </w:r>
      <w:r>
        <w:rPr>
          <w:b/>
          <w:lang w:val="sr-Cyrl-BA"/>
        </w:rPr>
        <w:t>и, конференције,</w:t>
      </w:r>
      <w:r w:rsidR="00743982">
        <w:rPr>
          <w:b/>
          <w:lang w:val="sr-Cyrl-BA"/>
        </w:rPr>
        <w:t xml:space="preserve"> семинари,</w:t>
      </w:r>
      <w:r>
        <w:rPr>
          <w:b/>
          <w:lang w:val="sr-Cyrl-BA"/>
        </w:rPr>
        <w:t xml:space="preserve"> форуми, фестивали и сл</w:t>
      </w:r>
      <w:bookmarkEnd w:id="0"/>
      <w:r w:rsidR="00C765BC">
        <w:rPr>
          <w:b/>
          <w:lang w:val="sr-Cyrl-BA"/>
        </w:rPr>
        <w:t>. су</w:t>
      </w:r>
      <w:r w:rsidR="00937AC5">
        <w:rPr>
          <w:b/>
          <w:lang w:val="sr-Cyrl-BA"/>
        </w:rPr>
        <w:t>организовани од с</w:t>
      </w:r>
      <w:r w:rsidR="000C7238">
        <w:rPr>
          <w:b/>
          <w:lang w:val="sr-Cyrl-BA"/>
        </w:rPr>
        <w:t>тране факултета/академије у 2023</w:t>
      </w:r>
      <w:r w:rsidR="00937AC5">
        <w:rPr>
          <w:b/>
          <w:lang w:val="sr-Cyrl-BA"/>
        </w:rPr>
        <w:t xml:space="preserve">. години </w:t>
      </w:r>
    </w:p>
    <w:p w14:paraId="58A264A1" w14:textId="77777777" w:rsidR="00900170" w:rsidRDefault="00900170" w:rsidP="00900170">
      <w:pPr>
        <w:pStyle w:val="ListParagraph"/>
        <w:rPr>
          <w:lang w:val="sr-Cyrl-BA"/>
        </w:rPr>
      </w:pPr>
    </w:p>
    <w:p w14:paraId="68FB4EB3" w14:textId="77777777" w:rsidR="00900170" w:rsidRPr="00900170" w:rsidRDefault="00900170" w:rsidP="00900170">
      <w:pPr>
        <w:outlineLvl w:val="1"/>
        <w:rPr>
          <w:b/>
          <w:lang w:val="sr-Cyrl-BA"/>
        </w:rPr>
      </w:pPr>
      <w:r w:rsidRPr="00900170">
        <w:rPr>
          <w:lang w:val="sr-Cyrl-BA"/>
        </w:rPr>
        <w:t xml:space="preserve"> </w:t>
      </w:r>
      <w:bookmarkStart w:id="1" w:name="_Toc312073936"/>
      <w:r w:rsidRPr="00900170">
        <w:rPr>
          <w:b/>
          <w:lang w:val="sr-Cyrl-BA"/>
        </w:rPr>
        <w:t>Укупан број скупова</w:t>
      </w:r>
      <w:bookmarkEnd w:id="1"/>
      <w:r w:rsidR="000C7238">
        <w:rPr>
          <w:b/>
          <w:lang w:val="sr-Cyrl-BA"/>
        </w:rPr>
        <w:t xml:space="preserve"> у 2023</w:t>
      </w:r>
      <w:r w:rsidRPr="00900170">
        <w:rPr>
          <w:b/>
          <w:lang w:val="sr-Cyrl-BA"/>
        </w:rPr>
        <w:t>.</w:t>
      </w:r>
    </w:p>
    <w:tbl>
      <w:tblPr>
        <w:tblW w:w="20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2983"/>
      </w:tblGrid>
      <w:tr w:rsidR="00900170" w:rsidRPr="00066976" w14:paraId="4800F441" w14:textId="77777777" w:rsidTr="00DF7E6D">
        <w:trPr>
          <w:trHeight w:val="350"/>
          <w:jc w:val="center"/>
        </w:trPr>
        <w:tc>
          <w:tcPr>
            <w:tcW w:w="900" w:type="dxa"/>
            <w:vMerge w:val="restart"/>
            <w:shd w:val="clear" w:color="auto" w:fill="C0C0C0"/>
            <w:vAlign w:val="center"/>
          </w:tcPr>
          <w:p w14:paraId="0C071D8B" w14:textId="77777777"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3059" w:type="dxa"/>
            <w:vMerge w:val="restart"/>
            <w:shd w:val="clear" w:color="auto" w:fill="C0C0C0"/>
            <w:vAlign w:val="center"/>
          </w:tcPr>
          <w:p w14:paraId="08052249" w14:textId="77777777" w:rsidR="00900170" w:rsidRPr="006C4ABD" w:rsidRDefault="00900170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BA"/>
              </w:rPr>
              <w:t xml:space="preserve">Укупан број </w:t>
            </w:r>
            <w:r w:rsidR="00937AC5">
              <w:rPr>
                <w:sz w:val="20"/>
                <w:szCs w:val="20"/>
                <w:lang w:val="sr-Cyrl-BA"/>
              </w:rPr>
              <w:t>су</w:t>
            </w:r>
            <w:r>
              <w:rPr>
                <w:sz w:val="20"/>
                <w:szCs w:val="20"/>
                <w:lang w:val="sr-Cyrl-BA"/>
              </w:rPr>
              <w:t>организованих научних/ умјетничких скупова</w:t>
            </w:r>
          </w:p>
        </w:tc>
      </w:tr>
      <w:tr w:rsidR="00900170" w:rsidRPr="00066976" w14:paraId="250DAF39" w14:textId="77777777" w:rsidTr="00DF7E6D">
        <w:trPr>
          <w:trHeight w:val="671"/>
          <w:jc w:val="center"/>
        </w:trPr>
        <w:tc>
          <w:tcPr>
            <w:tcW w:w="900" w:type="dxa"/>
            <w:vMerge/>
            <w:shd w:val="clear" w:color="auto" w:fill="auto"/>
          </w:tcPr>
          <w:p w14:paraId="67A7421E" w14:textId="77777777"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3059" w:type="dxa"/>
            <w:vMerge/>
            <w:shd w:val="clear" w:color="auto" w:fill="auto"/>
          </w:tcPr>
          <w:p w14:paraId="16A0774E" w14:textId="77777777" w:rsidR="00900170" w:rsidRPr="00066976" w:rsidRDefault="00900170" w:rsidP="00DF7E6D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900170" w:rsidRPr="00066976" w14:paraId="2B3C7212" w14:textId="77777777" w:rsidTr="00DF7E6D">
        <w:trPr>
          <w:trHeight w:val="347"/>
          <w:jc w:val="center"/>
        </w:trPr>
        <w:tc>
          <w:tcPr>
            <w:tcW w:w="900" w:type="dxa"/>
            <w:shd w:val="clear" w:color="auto" w:fill="auto"/>
            <w:vAlign w:val="center"/>
          </w:tcPr>
          <w:p w14:paraId="1907E6EA" w14:textId="77777777" w:rsidR="00900170" w:rsidRPr="001026BB" w:rsidRDefault="00900170" w:rsidP="00102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 w:rsidRPr="00066976">
              <w:rPr>
                <w:rFonts w:eastAsia="Batang"/>
                <w:sz w:val="20"/>
                <w:szCs w:val="20"/>
                <w:lang w:val="sr-Cyrl-BA" w:eastAsia="ko-KR"/>
              </w:rPr>
              <w:t>20</w:t>
            </w:r>
            <w:r w:rsidR="000C7238">
              <w:rPr>
                <w:rFonts w:eastAsia="Batang"/>
                <w:sz w:val="20"/>
                <w:szCs w:val="20"/>
                <w:lang w:val="sr-Cyrl-BA" w:eastAsia="ko-KR"/>
              </w:rPr>
              <w:t>23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F32643D" w14:textId="47C47831" w:rsidR="00900170" w:rsidRPr="000E69ED" w:rsidRDefault="000E69ED" w:rsidP="00D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eastAsia="ko-KR"/>
              </w:rPr>
            </w:pPr>
            <w:r>
              <w:rPr>
                <w:rFonts w:eastAsia="Batang"/>
                <w:sz w:val="20"/>
                <w:szCs w:val="20"/>
                <w:lang w:eastAsia="ko-KR"/>
              </w:rPr>
              <w:t>1</w:t>
            </w:r>
          </w:p>
        </w:tc>
      </w:tr>
    </w:tbl>
    <w:p w14:paraId="48F0E452" w14:textId="77777777" w:rsidR="00900170" w:rsidRDefault="00900170" w:rsidP="00900170">
      <w:pPr>
        <w:rPr>
          <w:lang w:val="sr-Cyrl-BA"/>
        </w:rPr>
      </w:pPr>
    </w:p>
    <w:p w14:paraId="5C73F814" w14:textId="77777777" w:rsidR="009A1FA1" w:rsidRDefault="009A1FA1" w:rsidP="00900170">
      <w:pPr>
        <w:rPr>
          <w:lang w:val="sr-Cyrl-BA"/>
        </w:rPr>
      </w:pPr>
    </w:p>
    <w:p w14:paraId="6800EC62" w14:textId="77777777" w:rsidR="009A1FA1" w:rsidRDefault="009A1FA1" w:rsidP="00900170">
      <w:pPr>
        <w:rPr>
          <w:lang w:val="sr-Cyrl-BA"/>
        </w:rPr>
      </w:pPr>
      <w:r w:rsidRPr="009A1FA1">
        <w:rPr>
          <w:highlight w:val="yellow"/>
          <w:lang w:val="sr-Cyrl-BA"/>
        </w:rPr>
        <w:t>ОБАВЕЗНО ДОСТАВИТИ!</w:t>
      </w:r>
    </w:p>
    <w:p w14:paraId="067952A2" w14:textId="77777777" w:rsidR="00900170" w:rsidRPr="00900170" w:rsidRDefault="009A1FA1" w:rsidP="00900170">
      <w:pPr>
        <w:outlineLvl w:val="1"/>
        <w:rPr>
          <w:b/>
          <w:lang w:val="sr-Cyrl-BA"/>
        </w:rPr>
      </w:pPr>
      <w:r>
        <w:rPr>
          <w:b/>
          <w:lang w:val="sr-Cyrl-BA"/>
        </w:rPr>
        <w:t>Појединачни п</w:t>
      </w:r>
      <w:r w:rsidR="00937AC5">
        <w:rPr>
          <w:b/>
          <w:lang w:val="sr-Cyrl-BA"/>
        </w:rPr>
        <w:t>одаци о суорганизованим</w:t>
      </w:r>
      <w:r w:rsidR="0021669F">
        <w:rPr>
          <w:b/>
          <w:lang w:val="sr-Cyrl-BA"/>
        </w:rPr>
        <w:t xml:space="preserve"> скуповима</w:t>
      </w:r>
      <w:r w:rsidR="000C7238">
        <w:rPr>
          <w:b/>
          <w:lang w:val="sr-Cyrl-BA"/>
        </w:rPr>
        <w:t xml:space="preserve"> у 2023</w:t>
      </w:r>
      <w:r w:rsidR="00900170" w:rsidRPr="00900170">
        <w:rPr>
          <w:b/>
          <w:lang w:val="sr-Cyrl-BA"/>
        </w:rPr>
        <w:t>.</w:t>
      </w:r>
      <w:r w:rsidR="00900170">
        <w:rPr>
          <w:b/>
          <w:lang w:val="sr-Cyrl-BA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495"/>
      </w:tblGrid>
      <w:tr w:rsidR="00900170" w14:paraId="01660293" w14:textId="77777777" w:rsidTr="00937AC5">
        <w:tc>
          <w:tcPr>
            <w:tcW w:w="4608" w:type="dxa"/>
            <w:shd w:val="clear" w:color="auto" w:fill="D9D9D9"/>
          </w:tcPr>
          <w:p w14:paraId="7763BAF5" w14:textId="77777777" w:rsidR="00900170" w:rsidRPr="00E54CB2" w:rsidRDefault="00753AFF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скупа/ конференције/ форума/ фестивала и сл.</w:t>
            </w:r>
          </w:p>
        </w:tc>
        <w:tc>
          <w:tcPr>
            <w:tcW w:w="4608" w:type="dxa"/>
          </w:tcPr>
          <w:p w14:paraId="48084C5A" w14:textId="5C57D2AB" w:rsidR="00900170" w:rsidRPr="000E69ED" w:rsidRDefault="000E69ED" w:rsidP="00DF7E6D">
            <w:pPr>
              <w:spacing w:after="0"/>
              <w:rPr>
                <w:szCs w:val="24"/>
                <w:lang w:val="sr-Cyrl-BA"/>
              </w:rPr>
            </w:pPr>
            <w:r w:rsidRPr="000E69ED">
              <w:rPr>
                <w:szCs w:val="24"/>
                <w:lang w:val="sr-Cyrl-BA"/>
              </w:rPr>
              <w:t xml:space="preserve">14th </w:t>
            </w:r>
            <w:proofErr w:type="spellStart"/>
            <w:r w:rsidRPr="000E69ED">
              <w:rPr>
                <w:szCs w:val="24"/>
                <w:lang w:val="sr-Cyrl-BA"/>
              </w:rPr>
              <w:t>International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Scientific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Professional </w:t>
            </w:r>
            <w:proofErr w:type="spellStart"/>
            <w:r w:rsidRPr="000E69ED">
              <w:rPr>
                <w:szCs w:val="24"/>
                <w:lang w:val="sr-Cyrl-BA"/>
              </w:rPr>
              <w:t>Conference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WITH FOOD TO HEALTH</w:t>
            </w:r>
          </w:p>
        </w:tc>
      </w:tr>
      <w:tr w:rsidR="00937AC5" w14:paraId="175C1723" w14:textId="77777777" w:rsidTr="00937AC5">
        <w:tc>
          <w:tcPr>
            <w:tcW w:w="4608" w:type="dxa"/>
            <w:shd w:val="clear" w:color="auto" w:fill="D9D9D9"/>
          </w:tcPr>
          <w:p w14:paraId="417D67C4" w14:textId="77777777" w:rsidR="00937AC5" w:rsidRDefault="00937AC5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Назив институције домаћина тј. главног организатора скупа/ конференције/ форума/ фестивала и сл. </w:t>
            </w:r>
          </w:p>
        </w:tc>
        <w:tc>
          <w:tcPr>
            <w:tcW w:w="4608" w:type="dxa"/>
          </w:tcPr>
          <w:p w14:paraId="37DFAD8E" w14:textId="77777777" w:rsidR="000E69ED" w:rsidRPr="000E69ED" w:rsidRDefault="000E69ED" w:rsidP="000E69ED">
            <w:pPr>
              <w:spacing w:after="0"/>
              <w:rPr>
                <w:szCs w:val="24"/>
                <w:lang w:val="sr-Cyrl-BA"/>
              </w:rPr>
            </w:pPr>
            <w:proofErr w:type="spellStart"/>
            <w:r w:rsidRPr="000E69ED">
              <w:rPr>
                <w:szCs w:val="24"/>
                <w:lang w:val="sr-Cyrl-BA"/>
              </w:rPr>
              <w:t>Josip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Juraj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Strossmayer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University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of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Osijek</w:t>
            </w:r>
            <w:proofErr w:type="spellEnd"/>
            <w:r w:rsidRPr="000E69ED">
              <w:rPr>
                <w:szCs w:val="24"/>
                <w:lang w:val="sr-Cyrl-BA"/>
              </w:rPr>
              <w:t>,</w:t>
            </w:r>
          </w:p>
          <w:p w14:paraId="0302A40C" w14:textId="1B11E30D" w:rsidR="00937AC5" w:rsidRPr="000E69ED" w:rsidRDefault="000E69ED" w:rsidP="000E69ED">
            <w:pPr>
              <w:spacing w:after="0"/>
              <w:rPr>
                <w:szCs w:val="24"/>
                <w:lang w:val="sr-Cyrl-BA"/>
              </w:rPr>
            </w:pPr>
            <w:proofErr w:type="spellStart"/>
            <w:r w:rsidRPr="000E69ED">
              <w:rPr>
                <w:szCs w:val="24"/>
                <w:lang w:val="sr-Cyrl-BA"/>
              </w:rPr>
              <w:t>Faculty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of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Food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Technology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Osijek</w:t>
            </w:r>
            <w:proofErr w:type="spellEnd"/>
          </w:p>
        </w:tc>
      </w:tr>
      <w:tr w:rsidR="00937AC5" w14:paraId="306B1000" w14:textId="77777777" w:rsidTr="00937AC5">
        <w:tc>
          <w:tcPr>
            <w:tcW w:w="4608" w:type="dxa"/>
            <w:shd w:val="clear" w:color="auto" w:fill="D9D9D9"/>
          </w:tcPr>
          <w:p w14:paraId="42F044BA" w14:textId="77777777" w:rsidR="00937AC5" w:rsidRDefault="00937AC5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Држава</w:t>
            </w:r>
          </w:p>
        </w:tc>
        <w:tc>
          <w:tcPr>
            <w:tcW w:w="4608" w:type="dxa"/>
          </w:tcPr>
          <w:p w14:paraId="16896818" w14:textId="2F8B6285" w:rsidR="00937AC5" w:rsidRPr="000E69ED" w:rsidRDefault="000E69ED" w:rsidP="00DF7E6D">
            <w:pPr>
              <w:spacing w:after="0"/>
              <w:rPr>
                <w:szCs w:val="24"/>
              </w:rPr>
            </w:pPr>
            <w:r w:rsidRPr="000E69ED">
              <w:rPr>
                <w:szCs w:val="24"/>
              </w:rPr>
              <w:t>Croatia</w:t>
            </w:r>
          </w:p>
        </w:tc>
      </w:tr>
      <w:tr w:rsidR="00510933" w14:paraId="34902539" w14:textId="77777777" w:rsidTr="00937AC5">
        <w:tc>
          <w:tcPr>
            <w:tcW w:w="4608" w:type="dxa"/>
            <w:shd w:val="clear" w:color="auto" w:fill="D9D9D9"/>
          </w:tcPr>
          <w:p w14:paraId="16519B15" w14:textId="77777777" w:rsidR="00510933" w:rsidRPr="00510933" w:rsidRDefault="00510933" w:rsidP="00753AFF">
            <w:pPr>
              <w:spacing w:after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Категоризација</w:t>
            </w:r>
            <w:r w:rsidR="00937AC5">
              <w:rPr>
                <w:lang w:val="sr-Cyrl-RS"/>
              </w:rPr>
              <w:t xml:space="preserve"> </w:t>
            </w:r>
          </w:p>
        </w:tc>
        <w:tc>
          <w:tcPr>
            <w:tcW w:w="4608" w:type="dxa"/>
          </w:tcPr>
          <w:p w14:paraId="53B72841" w14:textId="10EDBFE5" w:rsidR="00510933" w:rsidRPr="000E69ED" w:rsidRDefault="000E69ED" w:rsidP="00DF7E6D">
            <w:pPr>
              <w:spacing w:after="0"/>
              <w:rPr>
                <w:szCs w:val="24"/>
              </w:rPr>
            </w:pPr>
            <w:r w:rsidRPr="000E69ED">
              <w:rPr>
                <w:szCs w:val="24"/>
              </w:rPr>
              <w:t>International</w:t>
            </w:r>
          </w:p>
        </w:tc>
      </w:tr>
      <w:tr w:rsidR="00900170" w14:paraId="5020987A" w14:textId="77777777" w:rsidTr="00937AC5">
        <w:tc>
          <w:tcPr>
            <w:tcW w:w="4608" w:type="dxa"/>
            <w:shd w:val="clear" w:color="auto" w:fill="D9D9D9"/>
          </w:tcPr>
          <w:p w14:paraId="18F0CCDB" w14:textId="77777777" w:rsidR="00900170" w:rsidRDefault="00510933" w:rsidP="00753AFF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 xml:space="preserve">Класификација </w:t>
            </w:r>
          </w:p>
        </w:tc>
        <w:tc>
          <w:tcPr>
            <w:tcW w:w="4608" w:type="dxa"/>
          </w:tcPr>
          <w:p w14:paraId="68EFBC88" w14:textId="0FE163B1" w:rsidR="00900170" w:rsidRPr="000E69ED" w:rsidRDefault="000E69ED" w:rsidP="00DF7E6D">
            <w:pPr>
              <w:spacing w:after="0"/>
              <w:rPr>
                <w:b/>
                <w:bCs/>
                <w:szCs w:val="24"/>
                <w:lang w:val="sr-Cyrl-BA"/>
              </w:rPr>
            </w:pPr>
            <w:r w:rsidRPr="000E69ED">
              <w:rPr>
                <w:rStyle w:val="Strong"/>
                <w:b w:val="0"/>
                <w:bCs w:val="0"/>
                <w:color w:val="3A3A3A"/>
                <w:szCs w:val="24"/>
                <w:bdr w:val="none" w:sz="0" w:space="0" w:color="auto" w:frame="1"/>
                <w:shd w:val="clear" w:color="auto" w:fill="FFFFFF"/>
              </w:rPr>
              <w:t>F</w:t>
            </w:r>
            <w:r w:rsidRPr="000E69ED">
              <w:rPr>
                <w:rStyle w:val="Strong"/>
                <w:b w:val="0"/>
                <w:bCs w:val="0"/>
                <w:color w:val="3A3A3A"/>
                <w:szCs w:val="24"/>
                <w:bdr w:val="none" w:sz="0" w:space="0" w:color="auto" w:frame="1"/>
                <w:shd w:val="clear" w:color="auto" w:fill="FFFFFF"/>
              </w:rPr>
              <w:t>irst category</w:t>
            </w:r>
          </w:p>
        </w:tc>
      </w:tr>
      <w:tr w:rsidR="00900170" w14:paraId="33F62678" w14:textId="77777777" w:rsidTr="00937AC5">
        <w:tc>
          <w:tcPr>
            <w:tcW w:w="4608" w:type="dxa"/>
            <w:shd w:val="clear" w:color="auto" w:fill="D9D9D9"/>
          </w:tcPr>
          <w:p w14:paraId="0D866FD1" w14:textId="77777777" w:rsidR="00900170" w:rsidRPr="00E54CB2" w:rsidRDefault="00900170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Мјесец (и година) одржавања скупа</w:t>
            </w:r>
          </w:p>
        </w:tc>
        <w:tc>
          <w:tcPr>
            <w:tcW w:w="4608" w:type="dxa"/>
          </w:tcPr>
          <w:p w14:paraId="797C6330" w14:textId="615838F0" w:rsidR="00900170" w:rsidRPr="000E69ED" w:rsidRDefault="000E69ED" w:rsidP="00DF7E6D">
            <w:pPr>
              <w:spacing w:after="0"/>
              <w:rPr>
                <w:b/>
                <w:bCs/>
                <w:szCs w:val="24"/>
                <w:lang w:val="sr-Cyrl-BA"/>
              </w:rPr>
            </w:pPr>
            <w:r w:rsidRPr="000E69ED">
              <w:rPr>
                <w:rStyle w:val="Strong"/>
                <w:b w:val="0"/>
                <w:bCs w:val="0"/>
                <w:color w:val="3A3A3A"/>
                <w:szCs w:val="24"/>
                <w:bdr w:val="none" w:sz="0" w:space="0" w:color="auto" w:frame="1"/>
                <w:shd w:val="clear" w:color="auto" w:fill="FFFFFF"/>
              </w:rPr>
              <w:t>September 14th and 15th 2023</w:t>
            </w:r>
          </w:p>
        </w:tc>
      </w:tr>
      <w:tr w:rsidR="00900170" w14:paraId="55CFE4B4" w14:textId="77777777" w:rsidTr="00937AC5">
        <w:tc>
          <w:tcPr>
            <w:tcW w:w="4608" w:type="dxa"/>
            <w:shd w:val="clear" w:color="auto" w:fill="D9D9D9"/>
          </w:tcPr>
          <w:p w14:paraId="052E9127" w14:textId="77777777" w:rsidR="00900170" w:rsidRDefault="0027493F" w:rsidP="00900170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Периодичност</w:t>
            </w:r>
            <w:r w:rsidR="00900170">
              <w:rPr>
                <w:lang w:val="sr-Cyrl-BA"/>
              </w:rPr>
              <w:t xml:space="preserve"> одржавања (годишње, сваке 2,3 године, и сл.)</w:t>
            </w:r>
          </w:p>
        </w:tc>
        <w:tc>
          <w:tcPr>
            <w:tcW w:w="4608" w:type="dxa"/>
          </w:tcPr>
          <w:p w14:paraId="66834A8D" w14:textId="72D756A9" w:rsidR="00900170" w:rsidRPr="000E69ED" w:rsidRDefault="000E69ED" w:rsidP="00DF7E6D">
            <w:pPr>
              <w:spacing w:after="0"/>
              <w:rPr>
                <w:szCs w:val="24"/>
              </w:rPr>
            </w:pPr>
            <w:r w:rsidRPr="000E69ED">
              <w:rPr>
                <w:szCs w:val="24"/>
              </w:rPr>
              <w:t>Biennial</w:t>
            </w:r>
          </w:p>
        </w:tc>
      </w:tr>
      <w:tr w:rsidR="009A1FA1" w14:paraId="2C890199" w14:textId="77777777" w:rsidTr="00937AC5">
        <w:tc>
          <w:tcPr>
            <w:tcW w:w="4608" w:type="dxa"/>
            <w:shd w:val="clear" w:color="auto" w:fill="D9D9D9"/>
          </w:tcPr>
          <w:p w14:paraId="2385B34C" w14:textId="77777777" w:rsidR="009A1FA1" w:rsidRPr="00E54CB2" w:rsidRDefault="009A1FA1" w:rsidP="009A1FA1">
            <w:pPr>
              <w:spacing w:after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Назив публикације која се издаје као исход овог скупа</w:t>
            </w:r>
          </w:p>
        </w:tc>
        <w:tc>
          <w:tcPr>
            <w:tcW w:w="4608" w:type="dxa"/>
          </w:tcPr>
          <w:p w14:paraId="0C0BFD44" w14:textId="77777777" w:rsidR="009A1FA1" w:rsidRPr="000E69ED" w:rsidRDefault="000E69ED" w:rsidP="000E69ED">
            <w:pPr>
              <w:spacing w:after="0"/>
              <w:rPr>
                <w:szCs w:val="24"/>
              </w:rPr>
            </w:pPr>
            <w:proofErr w:type="spellStart"/>
            <w:r w:rsidRPr="000E69ED">
              <w:rPr>
                <w:szCs w:val="24"/>
                <w:lang w:val="sr-Cyrl-BA"/>
              </w:rPr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Proceedings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of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14th </w:t>
            </w:r>
            <w:proofErr w:type="spellStart"/>
            <w:r w:rsidRPr="000E69ED">
              <w:rPr>
                <w:szCs w:val="24"/>
                <w:lang w:val="sr-Cyrl-BA"/>
              </w:rPr>
              <w:t>International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Scientific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Professional </w:t>
            </w:r>
            <w:proofErr w:type="spellStart"/>
            <w:r w:rsidRPr="000E69ED">
              <w:rPr>
                <w:szCs w:val="24"/>
                <w:lang w:val="sr-Cyrl-BA"/>
              </w:rPr>
              <w:t>Conference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WITH</w:t>
            </w:r>
            <w:r w:rsidRPr="000E69ED">
              <w:rPr>
                <w:szCs w:val="24"/>
              </w:rPr>
              <w:t xml:space="preserve"> </w:t>
            </w:r>
            <w:r w:rsidRPr="000E69ED">
              <w:rPr>
                <w:szCs w:val="24"/>
                <w:lang w:val="sr-Cyrl-BA"/>
              </w:rPr>
              <w:t>FOOD TO HEALT</w:t>
            </w:r>
          </w:p>
          <w:p w14:paraId="6977FA81" w14:textId="77777777" w:rsidR="000E69ED" w:rsidRPr="000E69ED" w:rsidRDefault="000E69ED" w:rsidP="000E69ED">
            <w:pPr>
              <w:spacing w:after="0"/>
              <w:rPr>
                <w:szCs w:val="24"/>
              </w:rPr>
            </w:pPr>
          </w:p>
          <w:p w14:paraId="195D2C8E" w14:textId="77777777" w:rsidR="000E69ED" w:rsidRPr="000E69ED" w:rsidRDefault="000E69ED" w:rsidP="000E69ED">
            <w:pPr>
              <w:spacing w:after="0"/>
              <w:rPr>
                <w:szCs w:val="24"/>
              </w:rPr>
            </w:pPr>
            <w:r w:rsidRPr="000E69ED">
              <w:rPr>
                <w:szCs w:val="24"/>
              </w:rPr>
              <w:t>OOK OF ABSTRACTS</w:t>
            </w:r>
            <w:r w:rsidRPr="000E69ED">
              <w:rPr>
                <w:szCs w:val="24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of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14th </w:t>
            </w:r>
            <w:proofErr w:type="spellStart"/>
            <w:r w:rsidRPr="000E69ED">
              <w:rPr>
                <w:szCs w:val="24"/>
                <w:lang w:val="sr-Cyrl-BA"/>
              </w:rPr>
              <w:t>International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Scientific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Professional </w:t>
            </w:r>
            <w:proofErr w:type="spellStart"/>
            <w:r w:rsidRPr="000E69ED">
              <w:rPr>
                <w:szCs w:val="24"/>
                <w:lang w:val="sr-Cyrl-BA"/>
              </w:rPr>
              <w:t>Conference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WITH</w:t>
            </w:r>
            <w:r w:rsidRPr="000E69ED">
              <w:rPr>
                <w:szCs w:val="24"/>
              </w:rPr>
              <w:t xml:space="preserve"> </w:t>
            </w:r>
            <w:r w:rsidRPr="000E69ED">
              <w:rPr>
                <w:szCs w:val="24"/>
                <w:lang w:val="sr-Cyrl-BA"/>
              </w:rPr>
              <w:t>FOOD TO HEALT</w:t>
            </w:r>
          </w:p>
          <w:p w14:paraId="5B3C1F48" w14:textId="268311BD" w:rsidR="000E69ED" w:rsidRPr="000E69ED" w:rsidRDefault="000E69ED" w:rsidP="000E69ED">
            <w:pPr>
              <w:spacing w:after="0"/>
              <w:rPr>
                <w:szCs w:val="24"/>
              </w:rPr>
            </w:pPr>
          </w:p>
        </w:tc>
      </w:tr>
      <w:tr w:rsidR="00900170" w14:paraId="14512E91" w14:textId="77777777" w:rsidTr="00937AC5">
        <w:tc>
          <w:tcPr>
            <w:tcW w:w="4608" w:type="dxa"/>
            <w:shd w:val="clear" w:color="auto" w:fill="D9D9D9"/>
          </w:tcPr>
          <w:p w14:paraId="1F0F0866" w14:textId="77777777" w:rsidR="00900170" w:rsidRPr="00E54CB2" w:rsidRDefault="00900170" w:rsidP="00DF7E6D">
            <w:pPr>
              <w:spacing w:after="0"/>
              <w:rPr>
                <w:lang w:val="sr-Cyrl-BA"/>
              </w:rPr>
            </w:pPr>
            <w:r w:rsidRPr="00E54CB2">
              <w:rPr>
                <w:lang w:val="sr-Cyrl-BA"/>
              </w:rPr>
              <w:t>Резиме</w:t>
            </w:r>
            <w:r>
              <w:rPr>
                <w:lang w:val="sr-Cyrl-BA"/>
              </w:rPr>
              <w:t xml:space="preserve"> (</w:t>
            </w:r>
            <w:r w:rsidRPr="00900170">
              <w:rPr>
                <w:sz w:val="20"/>
                <w:lang w:val="sr-Cyrl-BA"/>
              </w:rPr>
              <w:t>2-3 реченице о скупу</w:t>
            </w:r>
            <w:r>
              <w:rPr>
                <w:lang w:val="sr-Cyrl-BA"/>
              </w:rPr>
              <w:t>)</w:t>
            </w:r>
          </w:p>
        </w:tc>
        <w:tc>
          <w:tcPr>
            <w:tcW w:w="4608" w:type="dxa"/>
          </w:tcPr>
          <w:p w14:paraId="1EC20547" w14:textId="0A804EB6" w:rsidR="00900170" w:rsidRPr="000E69ED" w:rsidRDefault="000E69ED" w:rsidP="000E69ED">
            <w:pPr>
              <w:rPr>
                <w:szCs w:val="24"/>
              </w:rPr>
            </w:pPr>
            <w:proofErr w:type="spellStart"/>
            <w:r w:rsidRPr="000E69ED">
              <w:rPr>
                <w:szCs w:val="24"/>
                <w:lang w:val="sr-Cyrl-BA"/>
              </w:rPr>
              <w:t>Conference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aim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was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to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gather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eminent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experts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from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academic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community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industry</w:t>
            </w:r>
            <w:proofErr w:type="spellEnd"/>
            <w:r w:rsidRPr="000E69ED">
              <w:rPr>
                <w:szCs w:val="24"/>
                <w:lang w:val="sr-Cyrl-BA"/>
              </w:rPr>
              <w:t xml:space="preserve">, </w:t>
            </w:r>
            <w:proofErr w:type="spellStart"/>
            <w:r w:rsidRPr="000E69ED">
              <w:rPr>
                <w:szCs w:val="24"/>
                <w:lang w:val="sr-Cyrl-BA"/>
              </w:rPr>
              <w:t>nutritionists</w:t>
            </w:r>
            <w:proofErr w:type="spellEnd"/>
            <w:r w:rsidRPr="000E69ED">
              <w:rPr>
                <w:szCs w:val="24"/>
                <w:lang w:val="sr-Cyrl-BA"/>
              </w:rPr>
              <w:t xml:space="preserve">, </w:t>
            </w:r>
            <w:proofErr w:type="spellStart"/>
            <w:r w:rsidRPr="000E69ED">
              <w:rPr>
                <w:szCs w:val="24"/>
                <w:lang w:val="sr-Cyrl-BA"/>
              </w:rPr>
              <w:t>food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technologists</w:t>
            </w:r>
            <w:proofErr w:type="spellEnd"/>
            <w:r w:rsidRPr="000E69ED">
              <w:rPr>
                <w:szCs w:val="24"/>
                <w:lang w:val="sr-Cyrl-BA"/>
              </w:rPr>
              <w:t xml:space="preserve">, </w:t>
            </w:r>
            <w:proofErr w:type="spellStart"/>
            <w:r w:rsidRPr="000E69ED">
              <w:rPr>
                <w:szCs w:val="24"/>
                <w:lang w:val="sr-Cyrl-BA"/>
              </w:rPr>
              <w:t>pharmacists</w:t>
            </w:r>
            <w:proofErr w:type="spellEnd"/>
            <w:r w:rsidRPr="000E69ED">
              <w:rPr>
                <w:szCs w:val="24"/>
                <w:lang w:val="sr-Cyrl-BA"/>
              </w:rPr>
              <w:t xml:space="preserve">, </w:t>
            </w:r>
            <w:proofErr w:type="spellStart"/>
            <w:r w:rsidRPr="000E69ED">
              <w:rPr>
                <w:szCs w:val="24"/>
                <w:lang w:val="sr-Cyrl-BA"/>
              </w:rPr>
              <w:t>medical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doctors</w:t>
            </w:r>
            <w:proofErr w:type="spellEnd"/>
            <w:r w:rsidRPr="000E69ED">
              <w:rPr>
                <w:szCs w:val="24"/>
                <w:lang w:val="sr-Cyrl-BA"/>
              </w:rPr>
              <w:t xml:space="preserve">,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all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who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were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interested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food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food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influence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on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health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aspect</w:t>
            </w:r>
            <w:proofErr w:type="spellEnd"/>
            <w:r w:rsidRPr="000E69ED">
              <w:rPr>
                <w:szCs w:val="24"/>
                <w:lang w:val="sr-Cyrl-BA"/>
              </w:rPr>
              <w:t xml:space="preserve">. </w:t>
            </w:r>
            <w:proofErr w:type="spellStart"/>
            <w:r w:rsidRPr="000E69ED">
              <w:rPr>
                <w:szCs w:val="24"/>
                <w:lang w:val="sr-Cyrl-BA"/>
              </w:rPr>
              <w:t>Many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institutions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were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involved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Conference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organisation</w:t>
            </w:r>
            <w:proofErr w:type="spellEnd"/>
            <w:r w:rsidRPr="000E69ED">
              <w:rPr>
                <w:szCs w:val="24"/>
                <w:lang w:val="sr-Cyrl-BA"/>
              </w:rPr>
              <w:t xml:space="preserve">,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their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number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affiliation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to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different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professional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areas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confirm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importance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of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lastRenderedPageBreak/>
              <w:t>the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subject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and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give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special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interdisciplinary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character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to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this</w:t>
            </w:r>
            <w:proofErr w:type="spellEnd"/>
            <w:r w:rsidRPr="000E69ED">
              <w:rPr>
                <w:szCs w:val="24"/>
                <w:lang w:val="sr-Cyrl-BA"/>
              </w:rPr>
              <w:t xml:space="preserve"> </w:t>
            </w:r>
            <w:proofErr w:type="spellStart"/>
            <w:r w:rsidRPr="000E69ED">
              <w:rPr>
                <w:szCs w:val="24"/>
                <w:lang w:val="sr-Cyrl-BA"/>
              </w:rPr>
              <w:t>Conference</w:t>
            </w:r>
            <w:proofErr w:type="spellEnd"/>
            <w:r w:rsidRPr="000E69ED">
              <w:rPr>
                <w:szCs w:val="24"/>
                <w:lang w:val="sr-Cyrl-BA"/>
              </w:rPr>
              <w:t>.</w:t>
            </w:r>
          </w:p>
        </w:tc>
      </w:tr>
    </w:tbl>
    <w:p w14:paraId="097425E1" w14:textId="77777777" w:rsidR="00900170" w:rsidRPr="00FF387A" w:rsidRDefault="00900170" w:rsidP="00900170">
      <w:pPr>
        <w:rPr>
          <w:sz w:val="20"/>
          <w:lang w:val="sr-Cyrl-BA"/>
        </w:rPr>
      </w:pPr>
      <w:r w:rsidRPr="00FF387A">
        <w:rPr>
          <w:sz w:val="20"/>
          <w:lang w:val="sr-Cyrl-BA"/>
        </w:rPr>
        <w:lastRenderedPageBreak/>
        <w:t xml:space="preserve">* креирати онолико табела колико је било </w:t>
      </w:r>
      <w:r w:rsidR="00326D55">
        <w:rPr>
          <w:sz w:val="20"/>
          <w:lang w:val="sr-Cyrl-RS"/>
        </w:rPr>
        <w:t>су</w:t>
      </w:r>
      <w:r w:rsidRPr="00FF387A">
        <w:rPr>
          <w:sz w:val="20"/>
          <w:lang w:val="sr-Cyrl-BA"/>
        </w:rPr>
        <w:t>организованих скупова</w:t>
      </w:r>
    </w:p>
    <w:p w14:paraId="47DDDADD" w14:textId="77777777" w:rsidR="00C16D11" w:rsidRDefault="00C16D11">
      <w:pPr>
        <w:rPr>
          <w:lang w:val="sr-Cyrl-BA"/>
        </w:rPr>
      </w:pPr>
    </w:p>
    <w:sectPr w:rsidR="00C16D11" w:rsidSect="00AA2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F187F"/>
    <w:multiLevelType w:val="multilevel"/>
    <w:tmpl w:val="57AA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05647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170"/>
    <w:rsid w:val="000104DB"/>
    <w:rsid w:val="000465E8"/>
    <w:rsid w:val="000C1084"/>
    <w:rsid w:val="000C7238"/>
    <w:rsid w:val="000E69ED"/>
    <w:rsid w:val="001026BB"/>
    <w:rsid w:val="00165D5A"/>
    <w:rsid w:val="001D6100"/>
    <w:rsid w:val="0021669F"/>
    <w:rsid w:val="00227552"/>
    <w:rsid w:val="00250C77"/>
    <w:rsid w:val="0027493F"/>
    <w:rsid w:val="00326D55"/>
    <w:rsid w:val="0033200B"/>
    <w:rsid w:val="00345CE8"/>
    <w:rsid w:val="003A1C23"/>
    <w:rsid w:val="0045748D"/>
    <w:rsid w:val="00464287"/>
    <w:rsid w:val="00510933"/>
    <w:rsid w:val="005273E9"/>
    <w:rsid w:val="00583DDA"/>
    <w:rsid w:val="005B5E2F"/>
    <w:rsid w:val="005C3E67"/>
    <w:rsid w:val="00620AFD"/>
    <w:rsid w:val="00646870"/>
    <w:rsid w:val="00691540"/>
    <w:rsid w:val="00743982"/>
    <w:rsid w:val="00753AFF"/>
    <w:rsid w:val="00757050"/>
    <w:rsid w:val="00764F39"/>
    <w:rsid w:val="00782F1D"/>
    <w:rsid w:val="007A16A9"/>
    <w:rsid w:val="00885122"/>
    <w:rsid w:val="008C4AC0"/>
    <w:rsid w:val="00900170"/>
    <w:rsid w:val="00937AC5"/>
    <w:rsid w:val="0096444D"/>
    <w:rsid w:val="0099056E"/>
    <w:rsid w:val="009A1FA1"/>
    <w:rsid w:val="009F40AA"/>
    <w:rsid w:val="00AA2EA7"/>
    <w:rsid w:val="00AE5711"/>
    <w:rsid w:val="00AF6890"/>
    <w:rsid w:val="00B27033"/>
    <w:rsid w:val="00BD3E60"/>
    <w:rsid w:val="00C16D11"/>
    <w:rsid w:val="00C223DB"/>
    <w:rsid w:val="00C765BC"/>
    <w:rsid w:val="00CC7B23"/>
    <w:rsid w:val="00D86AB7"/>
    <w:rsid w:val="00DD4253"/>
    <w:rsid w:val="00E000F7"/>
    <w:rsid w:val="00EB2990"/>
    <w:rsid w:val="00F9508F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4DD06"/>
  <w15:docId w15:val="{C8D95888-BBC9-4377-9391-1BA42899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69ED"/>
    <w:pPr>
      <w:spacing w:after="120"/>
      <w:jc w:val="both"/>
    </w:pPr>
    <w:rPr>
      <w:rFonts w:ascii="Times New Roman" w:hAnsi="Times New Roman"/>
      <w:sz w:val="24"/>
      <w:szCs w:val="22"/>
      <w:lang w:val="sr-Latn-B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outlineLvl w:val="0"/>
    </w:pPr>
    <w:rPr>
      <w:rFonts w:eastAsia="Times New Roman"/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/>
      <w:outlineLvl w:val="1"/>
    </w:pPr>
    <w:rPr>
      <w:rFonts w:eastAsia="Times New Roman"/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outlineLvl w:val="3"/>
    </w:pPr>
    <w:rPr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</w:pPr>
    <w:rPr>
      <w:rFonts w:eastAsia="Times New Roman"/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753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109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Milan Vukic</cp:lastModifiedBy>
  <cp:revision>8</cp:revision>
  <dcterms:created xsi:type="dcterms:W3CDTF">2020-12-07T10:03:00Z</dcterms:created>
  <dcterms:modified xsi:type="dcterms:W3CDTF">2024-04-19T18:11:00Z</dcterms:modified>
</cp:coreProperties>
</file>